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1"/>
              <w:gridCol w:w="4893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2B8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Pre-Engineering 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EB47)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32B8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32B8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2B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2B8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E254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PHY* E221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(PH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CHE* E121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(CH 121)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E256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PHY* E222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(PH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Calculus-Based Physics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CSC*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Structured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CHE* E122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(CH 122)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E268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Calculus III: Multivariable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ES 205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Statics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Social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E285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Differential Equations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ES 206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Dynamics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Behavioral 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Open (2 courses)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32B8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732B8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Students planning to enter this program should have a strong background in high school algebra, geometry, trigonometry and functions, and in physics and chemistry. Their total high school record should indicate an ability to succeed in the Engineerin</w:t>
            </w:r>
            <w:r>
              <w:rPr>
                <w:rFonts w:eastAsia="Times New Roman"/>
                <w:sz w:val="20"/>
                <w:szCs w:val="20"/>
              </w:rPr>
              <w:t>g Program. One year of foreign language is recommended.</w:t>
            </w:r>
          </w:p>
          <w:p w:rsidR="00000000" w:rsidRDefault="00732B8B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This course is not offered at HCC and should be taken at another Community College.</w:t>
            </w:r>
          </w:p>
          <w:p w:rsidR="00000000" w:rsidRDefault="00732B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732B8B">
      <w:pPr>
        <w:pStyle w:val="copyrighttext"/>
        <w:jc w:val="center"/>
      </w:pPr>
      <w:r>
        <w:lastRenderedPageBreak/>
        <w:t>© Housatonic Community College. All Rights Reserved. 900 Lafayette blvd., B</w:t>
      </w:r>
      <w:r>
        <w:t>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2B8B"/>
    <w:rsid w:val="0073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0B3E0-643F-4121-B695-511D123B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2015-08-11T16:05:00Z</dcterms:created>
  <dcterms:modified xsi:type="dcterms:W3CDTF">2015-08-11T16:05:00Z</dcterms:modified>
</cp:coreProperties>
</file>