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57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857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MAT* E186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Precalculus (4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 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MAT* E254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Calculus I (4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 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CSC* E205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 Apps (CSA*)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6-7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 Apps (CSA*)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6-7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57E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57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62-66</w:t>
                  </w:r>
                </w:p>
              </w:tc>
            </w:tr>
          </w:tbl>
          <w:p w:rsidR="00000000" w:rsidRDefault="00C857EB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1 </w:t>
            </w:r>
            <w:r>
              <w:t>Application electives are BOT* E137, BOT* E215, CSA* E163, CSA* E153, CSA* E135, CSA* E145, CSA* E205 and other application courses as they are created.</w:t>
            </w:r>
          </w:p>
          <w:p w:rsidR="00000000" w:rsidRDefault="00C857E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Computer Science electives must be selected in consultation with the program advisor based on the stu</w:t>
            </w:r>
            <w:r>
              <w:t>dent's concentration, e.g., applications, hardware, programming, or networking. See networking courses and certificate programs for lists of applicable courses.</w:t>
            </w:r>
          </w:p>
          <w:p w:rsidR="00000000" w:rsidRDefault="00C85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C857EB">
      <w:pPr>
        <w:pStyle w:val="copyrighttext"/>
        <w:jc w:val="center"/>
      </w:pPr>
      <w:r>
        <w:lastRenderedPageBreak/>
        <w:t xml:space="preserve">© Housatonic Community College. All Rights Reserved. 900 </w:t>
      </w:r>
      <w:r>
        <w:t>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7EB"/>
    <w:rsid w:val="00C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B3A7-5099-4528-B1EC-E2C38A1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2015-08-11T16:07:00Z</dcterms:created>
  <dcterms:modified xsi:type="dcterms:W3CDTF">2015-08-11T16:07:00Z</dcterms:modified>
</cp:coreProperties>
</file>