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30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830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30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38308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CSA* E106 or BOT* E137 should be selected unless the student has adequate computer background. BOT* E111 and BOT* E260 electives should be considered for second Business elective in conjunction with recom</w:t>
            </w:r>
            <w:r>
              <w:rPr>
                <w:sz w:val="20"/>
                <w:szCs w:val="20"/>
              </w:rPr>
              <w:t>mendations of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12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8308A">
      <w:pPr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25" style="width:0;height:1.5pt" o:hralign="center" o:hrstd="t" o:hr="t" fillcolor="#a0a0a0" stroked="f"/>
        </w:pict>
      </w:r>
    </w:p>
    <w:p w:rsidR="00000000" w:rsidRDefault="0038308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08A"/>
    <w:rsid w:val="003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3A8B-C330-4925-99B9-7E81BF1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