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487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783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UCONN-Stamford/Waterbury Transfer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EA67tr)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783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A783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A783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783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783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PHL*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(HU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Philosophy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A783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4A783F">
            <w:pPr>
              <w:pStyle w:val="NormalWeb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Business electives should be selected in consultation with a Business advisor. Business electives may be chosen from Accounting, Business, Computer Science, alternate Economics course, and Business Office Technology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The science elective may be met with a</w:t>
            </w:r>
            <w:r>
              <w:rPr>
                <w:sz w:val="20"/>
                <w:szCs w:val="20"/>
              </w:rPr>
              <w:t>ny lab course (4 credits) in Biology, Chemistry, or Physics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4A783F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783F"/>
    <w:rsid w:val="004A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5FBAC-4AB7-498F-A1E2-9C47DF80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2015-08-11T18:16:00Z</dcterms:created>
  <dcterms:modified xsi:type="dcterms:W3CDTF">2015-08-11T18:16:00Z</dcterms:modified>
</cp:coreProperties>
</file>