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245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245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Student Teaching Practicum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245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E24535">
            <w:pPr>
              <w:pStyle w:val="NormalWeb"/>
            </w:pPr>
            <w:r>
              <w:rPr>
                <w:sz w:val="20"/>
                <w:szCs w:val="20"/>
              </w:rPr>
              <w:t xml:space="preserve">NOTE: To meet state articulation requirements, transfer students must take the following courses: Science: must be a laboratory science; Math: must be MAT* E137 or higher; History must be HIS* E201. </w:t>
            </w:r>
            <w:r>
              <w:rPr>
                <w:sz w:val="20"/>
                <w:szCs w:val="20"/>
              </w:rPr>
              <w:t>Transfer students must have a 2.7 GPA and pass the state-mandated skills examination (PRAXIS I) before they can be admitted into a university education program.</w:t>
            </w:r>
            <w:r>
              <w:br/>
            </w:r>
            <w:r>
              <w:rPr>
                <w:sz w:val="20"/>
                <w:szCs w:val="20"/>
              </w:rPr>
              <w:t>NOTE: Fingerprinting and a background criminal check are required for any job working with chil</w:t>
            </w:r>
            <w:r>
              <w:rPr>
                <w:sz w:val="20"/>
                <w:szCs w:val="20"/>
              </w:rPr>
              <w:t>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All electives should be based on student's career objectives. It is recommended that selection of electives be discussed with the program advisors.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</w:t>
            </w:r>
            <w:r>
              <w:rPr>
                <w:sz w:val="20"/>
                <w:szCs w:val="20"/>
              </w:rPr>
              <w:t>omputer Literacy Requirement.</w:t>
            </w:r>
          </w:p>
        </w:tc>
      </w:tr>
    </w:tbl>
    <w:p w:rsidR="00000000" w:rsidRDefault="00E2453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4535"/>
    <w:rsid w:val="00E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9B621-1F35-498F-9D6C-AB191F8D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EA95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EA95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