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138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4138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4138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413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D4138B">
            <w:pPr>
              <w:pStyle w:val="NormalWeb"/>
            </w:pPr>
            <w:r>
              <w:rPr>
                <w:sz w:val="20"/>
                <w:szCs w:val="20"/>
              </w:rPr>
              <w:t>A General Studies Degree with a concentration in Criminal Justice is available for students wishing to complete a 60-credit degree with an emphasis in Criminal Justice. Please see a Criminal Justice Program Advisor for additional information.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</w:t>
            </w:r>
            <w:r>
              <w:rPr>
                <w:sz w:val="20"/>
                <w:szCs w:val="20"/>
              </w:rPr>
              <w:t xml:space="preserve">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It is recommended that students take one year of a foreign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4138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138B"/>
    <w:rsid w:val="00D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1DF29-8C09-4176-A354-13DF02B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</dc:title>
  <dc:subject/>
  <dc:creator>Greene, Susan</dc:creator>
  <cp:keywords/>
  <dc:description/>
  <cp:lastModifiedBy>Greene, Susan</cp:lastModifiedBy>
  <cp:revision>2</cp:revision>
  <dcterms:created xsi:type="dcterms:W3CDTF">2015-08-13T18:10:00Z</dcterms:created>
  <dcterms:modified xsi:type="dcterms:W3CDTF">2015-08-13T18:10:00Z</dcterms:modified>
</cp:coreProperties>
</file>