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2013-2014</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D63483">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Advisor</w:t>
                  </w:r>
                </w:p>
              </w:tc>
            </w:tr>
          </w:tbl>
          <w:p w:rsidR="00000000" w:rsidRDefault="00D63483">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D63483">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D63483">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D63483">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D63483">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D63483">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D63483">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D63483">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D63483">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D63483">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D63483">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D63483">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COM* 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D63483">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D63483">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D63483">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D63483">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D63483">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D63483">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D63483">
                  <w:pPr>
                    <w:jc w:val="right"/>
                    <w:rPr>
                      <w:rFonts w:eastAsia="Times New Roman"/>
                    </w:rPr>
                  </w:pPr>
                  <w:r>
                    <w:rPr>
                      <w:rFonts w:eastAsia="Times New Roman"/>
                    </w:rPr>
                    <w:t>66</w:t>
                  </w:r>
                </w:p>
              </w:tc>
            </w:tr>
          </w:tbl>
          <w:p w:rsidR="00000000" w:rsidRDefault="00D63483">
            <w:pPr>
              <w:pStyle w:val="NormalWeb"/>
            </w:pPr>
            <w:r>
              <w:rPr>
                <w:rStyle w:val="Strong"/>
                <w:sz w:val="20"/>
                <w:szCs w:val="20"/>
              </w:rPr>
              <w:t xml:space="preserve">Note: </w:t>
            </w:r>
            <w:r>
              <w:rPr>
                <w:sz w:val="20"/>
                <w:szCs w:val="20"/>
              </w:rPr>
              <w:t>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choices</w:t>
            </w:r>
            <w:r>
              <w:rPr>
                <w:sz w:val="20"/>
                <w:szCs w:val="20"/>
              </w:rPr>
              <w:t>.</w:t>
            </w:r>
            <w:r>
              <w:rPr>
                <w:rStyle w:val="Strong"/>
                <w:color w:val="990000"/>
                <w:sz w:val="20"/>
                <w:szCs w:val="20"/>
                <w:vertAlign w:val="superscript"/>
              </w:rPr>
              <w:t xml:space="preserve">2 </w:t>
            </w:r>
            <w:r>
              <w:rPr>
                <w:sz w:val="20"/>
                <w:szCs w:val="20"/>
              </w:rPr>
              <w:t>Specific math and science prerequisites apply. Please see program coordinator</w:t>
            </w:r>
            <w:r>
              <w:rPr>
                <w:sz w:val="20"/>
                <w:szCs w:val="20"/>
              </w:rPr>
              <w:t>.</w:t>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National Program on Noncollegiate Sponsored Inst</w:t>
            </w:r>
            <w:r>
              <w:rPr>
                <w:sz w:val="20"/>
                <w:szCs w:val="20"/>
              </w:rPr>
              <w:t>ruction</w:t>
            </w:r>
            <w:r>
              <w:rPr>
                <w:sz w:val="20"/>
                <w:szCs w:val="20"/>
              </w:rPr>
              <w:t>.</w:t>
            </w:r>
            <w:r>
              <w:rPr>
                <w:rStyle w:val="Strong"/>
                <w:sz w:val="20"/>
                <w:szCs w:val="20"/>
              </w:rPr>
              <w:t xml:space="preserve">Note: </w:t>
            </w:r>
            <w:r>
              <w:rPr>
                <w:sz w:val="20"/>
                <w:szCs w:val="20"/>
              </w:rPr>
              <w:t>A minimum of 15 credits must be taken in 200-level courses</w:t>
            </w:r>
            <w:r>
              <w:rPr>
                <w:sz w:val="20"/>
                <w:szCs w:val="20"/>
              </w:rPr>
              <w:t>.</w:t>
            </w:r>
            <w:r>
              <w:rPr>
                <w:rStyle w:val="Strong"/>
                <w:sz w:val="20"/>
                <w:szCs w:val="20"/>
              </w:rPr>
              <w:t xml:space="preserve">Note: </w:t>
            </w:r>
            <w:r>
              <w:rPr>
                <w:sz w:val="20"/>
                <w:szCs w:val="20"/>
              </w:rPr>
              <w:t>For degree completion the student must complete the Computer Literacy Requirement</w:t>
            </w:r>
            <w:r>
              <w:rPr>
                <w:sz w:val="20"/>
                <w:szCs w:val="20"/>
              </w:rPr>
              <w:t>.</w:t>
            </w:r>
            <w:r>
              <w:t xml:space="preserve"> </w:t>
            </w:r>
          </w:p>
        </w:tc>
      </w:tr>
    </w:tbl>
    <w:p w:rsidR="00000000" w:rsidRDefault="00D63483">
      <w:pPr>
        <w:pStyle w:val="copyrighttext"/>
        <w:jc w:val="center"/>
      </w:pPr>
      <w:r>
        <w:t>© Housatonic Community College. All Rights Reserved. 900 Lafayette Blvd., Bridgeport, CT 066</w:t>
      </w:r>
      <w:r>
        <w:t>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3483"/>
    <w:rsid w:val="00D6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5CF3D-FA9C-4A80-93F2-E435B91A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EB30n</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EB30n</dc:title>
  <dc:subject/>
  <dc:creator>Greene, Susan</dc:creator>
  <cp:keywords/>
  <dc:description/>
  <cp:lastModifiedBy>Greene, Susan</cp:lastModifiedBy>
  <cp:revision>2</cp:revision>
  <dcterms:created xsi:type="dcterms:W3CDTF">2015-08-13T18:11:00Z</dcterms:created>
  <dcterms:modified xsi:type="dcterms:W3CDTF">2015-08-13T18:11:00Z</dcterms:modified>
</cp:coreProperties>
</file>