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Medical Assisting: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EA10)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916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16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E133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Medical Assisting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E104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Quantitative Reasoning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E245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Medical Assisting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Electronic Medical Records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Pharmacology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E113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Healthcare Insurance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lastRenderedPageBreak/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Medical Assisting Externship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E250L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Pharmacology Lab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Medical Coding &amp; Billing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E125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Medical Terminology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6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MED* E170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Law and Ethics for Health Professionals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916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</w:tr>
          </w:tbl>
          <w:p w:rsidR="00000000" w:rsidRDefault="00A91677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Third Semester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Students must acquire certification from the American Red Cross in CPR and First Aid before beginning the third semester.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Fourth Semester</w:t>
            </w:r>
            <w:r>
              <w:rPr>
                <w:sz w:val="20"/>
                <w:szCs w:val="20"/>
              </w:rPr>
              <w:t xml:space="preserve"> - Medical Assisting Externship - 160-200 hours in a supervised non-classroom setting. The first weeks of course wil</w:t>
            </w:r>
            <w:r>
              <w:rPr>
                <w:sz w:val="20"/>
                <w:szCs w:val="20"/>
              </w:rPr>
              <w:t xml:space="preserve">l be classroom based simulations prior to the off campus experience. This course is the final 10 weeks of the semester after completion of all other MED requirements.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This course will be offered in intensive 5 week formats to prepare students for the Me</w:t>
            </w:r>
            <w:r>
              <w:rPr>
                <w:sz w:val="20"/>
                <w:szCs w:val="20"/>
              </w:rPr>
              <w:t>dical Assisting Externship (MED* E281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</w:tbl>
    <w:p w:rsidR="00000000" w:rsidRDefault="00A91677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677"/>
    <w:rsid w:val="00A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2D47-502B-44B3-8204-9C313B82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EA10</vt:lpstr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EA10</dc:title>
  <dc:subject/>
  <dc:creator>Greene, Susan</dc:creator>
  <cp:keywords/>
  <dc:description/>
  <cp:lastModifiedBy>Greene, Susan</cp:lastModifiedBy>
  <cp:revision>2</cp:revision>
  <dcterms:created xsi:type="dcterms:W3CDTF">2015-08-13T18:42:00Z</dcterms:created>
  <dcterms:modified xsi:type="dcterms:W3CDTF">2015-08-13T18:42:00Z</dcterms:modified>
</cp:coreProperties>
</file>